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25984374"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B450E7">
        <w:t xml:space="preserve">March </w:t>
      </w:r>
      <w:r w:rsidR="00150C14">
        <w:t>2</w:t>
      </w:r>
      <w:r w:rsidR="00664169">
        <w:t>7</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664169">
        <w:t>April 3</w:t>
      </w:r>
      <w:r w:rsidR="00760079" w:rsidRPr="00EC6E47">
        <w:t>, 202</w:t>
      </w:r>
      <w:r w:rsidR="00760079">
        <w:t>5</w:t>
      </w:r>
    </w:p>
    <w:p w14:paraId="39A08076" w14:textId="53E5EA48" w:rsidR="00CC713B" w:rsidRPr="009A233C" w:rsidRDefault="00CC713B" w:rsidP="0097145B">
      <w:pPr>
        <w:rPr>
          <w:i/>
          <w:iCs/>
        </w:rPr>
      </w:pPr>
    </w:p>
    <w:tbl>
      <w:tblPr>
        <w:tblW w:w="146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504"/>
      </w:tblGrid>
      <w:tr w:rsidR="001F4646" w:rsidRPr="009A233C" w14:paraId="010772CB" w14:textId="77777777" w:rsidTr="008F3A12">
        <w:tc>
          <w:tcPr>
            <w:tcW w:w="6112" w:type="dxa"/>
          </w:tcPr>
          <w:p w14:paraId="1137F703" w14:textId="7D8E2000" w:rsidR="001F4646" w:rsidRPr="00542D34" w:rsidRDefault="001F4646" w:rsidP="00542D34">
            <w:pPr>
              <w:pStyle w:val="RAHeading"/>
            </w:pPr>
            <w:r>
              <w:t>TO: SPecified providers</w:t>
            </w:r>
          </w:p>
        </w:tc>
        <w:tc>
          <w:tcPr>
            <w:tcW w:w="8504" w:type="dxa"/>
          </w:tcPr>
          <w:p w14:paraId="2B0BDC19" w14:textId="631D854A" w:rsidR="001F4646" w:rsidRPr="00542D34" w:rsidRDefault="001F4646" w:rsidP="00542D34">
            <w:pPr>
              <w:pStyle w:val="RAHeading"/>
            </w:pPr>
            <w:r>
              <w:t xml:space="preserve">RE: </w:t>
            </w:r>
            <w:r w:rsidR="00883A00" w:rsidRPr="00883A00">
              <w:t>Accounting code error</w:t>
            </w:r>
          </w:p>
        </w:tc>
      </w:tr>
      <w:tr w:rsidR="001F4646" w:rsidRPr="009A233C" w14:paraId="55AD5D0F" w14:textId="77777777" w:rsidTr="001F49E2">
        <w:tc>
          <w:tcPr>
            <w:tcW w:w="14616" w:type="dxa"/>
            <w:gridSpan w:val="2"/>
          </w:tcPr>
          <w:p w14:paraId="681DAE1C" w14:textId="1220BAD2" w:rsidR="001F4646" w:rsidRPr="00542D34" w:rsidRDefault="001F4646" w:rsidP="001F4646">
            <w:pPr>
              <w:pStyle w:val="RAText"/>
            </w:pPr>
            <w:bookmarkStart w:id="0" w:name="_Hlk193362024"/>
            <w:r w:rsidRPr="001F4646">
              <w:t xml:space="preserve">Your RA </w:t>
            </w:r>
            <w:r w:rsidR="000C25CE">
              <w:t>for the March 2</w:t>
            </w:r>
            <w:r w:rsidR="00843085">
              <w:t>8</w:t>
            </w:r>
            <w:r w:rsidR="000C25CE">
              <w:t xml:space="preserve"> financial cycle</w:t>
            </w:r>
            <w:r w:rsidRPr="001F4646">
              <w:t xml:space="preserve"> will </w:t>
            </w:r>
            <w:r w:rsidR="000C25CE">
              <w:t>include</w:t>
            </w:r>
            <w:r w:rsidRPr="001F4646">
              <w:t xml:space="preserve"> </w:t>
            </w:r>
            <w:r w:rsidR="000C25CE">
              <w:t>one</w:t>
            </w:r>
            <w:r w:rsidRPr="001F4646">
              <w:t xml:space="preserve"> or more expenditures and </w:t>
            </w:r>
            <w:r w:rsidR="000C25CE">
              <w:t>one</w:t>
            </w:r>
            <w:r w:rsidRPr="001F4646">
              <w:t xml:space="preserve"> or more account receivables that will have a net zero effect on your payment. There was an accounting code error on </w:t>
            </w:r>
            <w:r w:rsidR="000C25CE">
              <w:t>one</w:t>
            </w:r>
            <w:r w:rsidRPr="001F4646">
              <w:t xml:space="preserve"> or more of your 09/05/2024 account receivables that we need to correct. You will see an expenditure code of 0815 and an account receivable code of 0950. Again, the net effect of your payment will be zero. We regret the inconvenience this may cause.</w:t>
            </w:r>
            <w:bookmarkEnd w:id="0"/>
          </w:p>
        </w:tc>
      </w:tr>
      <w:tr w:rsidR="005D3444" w:rsidRPr="009A233C" w14:paraId="5393B0EC" w14:textId="77777777" w:rsidTr="008F3A12">
        <w:tc>
          <w:tcPr>
            <w:tcW w:w="6112" w:type="dxa"/>
          </w:tcPr>
          <w:p w14:paraId="49C9D132" w14:textId="5762FDEB" w:rsidR="005D3444" w:rsidRPr="00B30BBF" w:rsidRDefault="005D3444" w:rsidP="00B30BBF">
            <w:pPr>
              <w:pStyle w:val="RAHeading"/>
            </w:pPr>
            <w:r>
              <w:t>TO: HOSPITAL and PHYSICIAN providers</w:t>
            </w:r>
          </w:p>
        </w:tc>
        <w:tc>
          <w:tcPr>
            <w:tcW w:w="8504" w:type="dxa"/>
          </w:tcPr>
          <w:p w14:paraId="5E6B406E" w14:textId="0BB411AB" w:rsidR="005D3444" w:rsidRPr="00B30BBF" w:rsidRDefault="005D3444" w:rsidP="00B30BBF">
            <w:pPr>
              <w:pStyle w:val="RAHeading"/>
            </w:pPr>
            <w:r>
              <w:t xml:space="preserve">RE: </w:t>
            </w:r>
            <w:r w:rsidRPr="005D3444">
              <w:t>Coverage for Procedure Code 58674 - LAPS ABLTJ UTERINE FIBROIDS</w:t>
            </w:r>
          </w:p>
        </w:tc>
      </w:tr>
      <w:tr w:rsidR="005D3444" w:rsidRPr="009A233C" w14:paraId="0BA67B0A" w14:textId="77777777" w:rsidTr="00A65DF0">
        <w:tc>
          <w:tcPr>
            <w:tcW w:w="14616" w:type="dxa"/>
            <w:gridSpan w:val="2"/>
          </w:tcPr>
          <w:p w14:paraId="72BDE7D3" w14:textId="1E55C87C" w:rsidR="005D3444" w:rsidRDefault="005D3444" w:rsidP="005D3444">
            <w:pPr>
              <w:pStyle w:val="RAText"/>
              <w:spacing w:after="40"/>
            </w:pPr>
            <w:r>
              <w:t>The Arkansas Department of Human Services has updated coverage for procedure code 58674, retroactive to 3/1/2024, under the contracts as noted below.</w:t>
            </w:r>
          </w:p>
          <w:p w14:paraId="7A738FFF" w14:textId="5D2D5012" w:rsidR="005D3444" w:rsidRDefault="005D3444" w:rsidP="00D57D6A">
            <w:pPr>
              <w:pStyle w:val="RAText"/>
              <w:tabs>
                <w:tab w:val="center" w:pos="2490"/>
                <w:tab w:val="center" w:pos="3570"/>
                <w:tab w:val="center" w:pos="4560"/>
                <w:tab w:val="center" w:pos="5640"/>
              </w:tabs>
              <w:spacing w:after="40"/>
            </w:pPr>
            <w:r>
              <w:t>Provider Contract</w:t>
            </w:r>
            <w:r>
              <w:rPr>
                <w:i/>
                <w:iCs/>
              </w:rPr>
              <w:tab/>
            </w:r>
            <w:r>
              <w:t>Modifier</w:t>
            </w:r>
            <w:r>
              <w:rPr>
                <w:i/>
                <w:iCs/>
              </w:rPr>
              <w:tab/>
            </w:r>
            <w:r>
              <w:t>PA</w:t>
            </w:r>
            <w:r>
              <w:rPr>
                <w:i/>
                <w:iCs/>
              </w:rPr>
              <w:tab/>
            </w:r>
            <w:r>
              <w:t>Med Rev</w:t>
            </w:r>
            <w:r>
              <w:rPr>
                <w:i/>
                <w:iCs/>
              </w:rPr>
              <w:tab/>
            </w:r>
            <w:r>
              <w:t>Gender</w:t>
            </w:r>
          </w:p>
          <w:p w14:paraId="3E681DB3" w14:textId="33B8BC5C" w:rsidR="005D3444" w:rsidRDefault="005D3444" w:rsidP="00D57D6A">
            <w:pPr>
              <w:pStyle w:val="RAText"/>
              <w:tabs>
                <w:tab w:val="center" w:pos="2490"/>
                <w:tab w:val="center" w:pos="3570"/>
                <w:tab w:val="center" w:pos="4560"/>
                <w:tab w:val="center" w:pos="5640"/>
              </w:tabs>
              <w:spacing w:after="40"/>
            </w:pPr>
            <w:r>
              <w:t>AMBSC</w:t>
            </w:r>
            <w:r>
              <w:rPr>
                <w:i/>
                <w:iCs/>
              </w:rPr>
              <w:tab/>
            </w:r>
            <w:r>
              <w:t>SG</w:t>
            </w:r>
            <w:r>
              <w:rPr>
                <w:i/>
                <w:iCs/>
              </w:rPr>
              <w:tab/>
            </w:r>
            <w:r>
              <w:t>Y</w:t>
            </w:r>
            <w:r>
              <w:rPr>
                <w:i/>
                <w:iCs/>
              </w:rPr>
              <w:tab/>
            </w:r>
            <w:r>
              <w:t>Y</w:t>
            </w:r>
            <w:r>
              <w:rPr>
                <w:i/>
                <w:iCs/>
              </w:rPr>
              <w:tab/>
            </w:r>
            <w:r>
              <w:t>F</w:t>
            </w:r>
          </w:p>
          <w:p w14:paraId="3B4843CE" w14:textId="4971F2B9" w:rsidR="005D3444" w:rsidRDefault="005D3444" w:rsidP="00D57D6A">
            <w:pPr>
              <w:pStyle w:val="RAText"/>
              <w:tabs>
                <w:tab w:val="center" w:pos="2490"/>
                <w:tab w:val="center" w:pos="3570"/>
                <w:tab w:val="center" w:pos="4560"/>
                <w:tab w:val="center" w:pos="5640"/>
              </w:tabs>
              <w:spacing w:after="40"/>
            </w:pPr>
            <w:r>
              <w:t>ASTSG</w:t>
            </w:r>
            <w:r w:rsidR="005118D2">
              <w:rPr>
                <w:i/>
                <w:iCs/>
              </w:rPr>
              <w:tab/>
            </w:r>
            <w:r>
              <w:t>80, 81,82</w:t>
            </w:r>
            <w:r w:rsidR="005118D2">
              <w:rPr>
                <w:i/>
                <w:iCs/>
              </w:rPr>
              <w:tab/>
            </w:r>
            <w:r>
              <w:t>Y</w:t>
            </w:r>
            <w:r w:rsidR="005118D2">
              <w:rPr>
                <w:i/>
                <w:iCs/>
              </w:rPr>
              <w:tab/>
            </w:r>
            <w:r>
              <w:t>Y</w:t>
            </w:r>
            <w:r w:rsidR="005118D2">
              <w:rPr>
                <w:i/>
                <w:iCs/>
              </w:rPr>
              <w:tab/>
            </w:r>
            <w:r>
              <w:t>F</w:t>
            </w:r>
          </w:p>
          <w:p w14:paraId="5E5DFF44" w14:textId="54E3B162" w:rsidR="005D3444" w:rsidRDefault="005D3444" w:rsidP="00D57D6A">
            <w:pPr>
              <w:pStyle w:val="RAText"/>
              <w:tabs>
                <w:tab w:val="center" w:pos="2490"/>
                <w:tab w:val="center" w:pos="3570"/>
                <w:tab w:val="center" w:pos="4560"/>
                <w:tab w:val="center" w:pos="5640"/>
              </w:tabs>
              <w:spacing w:after="40"/>
            </w:pPr>
            <w:r>
              <w:t>MEDSV</w:t>
            </w:r>
            <w:r w:rsidR="005118D2">
              <w:rPr>
                <w:i/>
                <w:iCs/>
              </w:rPr>
              <w:tab/>
            </w:r>
            <w:r w:rsidR="003034F0">
              <w:rPr>
                <w:i/>
                <w:iCs/>
              </w:rPr>
              <w:tab/>
            </w:r>
            <w:r>
              <w:t>Y</w:t>
            </w:r>
            <w:r w:rsidR="005118D2">
              <w:rPr>
                <w:i/>
                <w:iCs/>
              </w:rPr>
              <w:tab/>
            </w:r>
            <w:r>
              <w:t>Y</w:t>
            </w:r>
            <w:r w:rsidR="005118D2">
              <w:rPr>
                <w:i/>
                <w:iCs/>
              </w:rPr>
              <w:tab/>
            </w:r>
            <w:r>
              <w:t>F</w:t>
            </w:r>
          </w:p>
          <w:p w14:paraId="5F911592" w14:textId="3E18E055" w:rsidR="005D3444" w:rsidRDefault="005D3444" w:rsidP="00D57D6A">
            <w:pPr>
              <w:pStyle w:val="RAText"/>
              <w:tabs>
                <w:tab w:val="center" w:pos="2490"/>
                <w:tab w:val="center" w:pos="3570"/>
                <w:tab w:val="center" w:pos="4560"/>
                <w:tab w:val="center" w:pos="5640"/>
              </w:tabs>
            </w:pPr>
            <w:r>
              <w:t>OUTPA</w:t>
            </w:r>
            <w:r w:rsidR="005118D2">
              <w:rPr>
                <w:i/>
                <w:iCs/>
              </w:rPr>
              <w:tab/>
            </w:r>
            <w:r w:rsidR="003034F0">
              <w:rPr>
                <w:i/>
                <w:iCs/>
              </w:rPr>
              <w:tab/>
            </w:r>
            <w:r>
              <w:t>Y</w:t>
            </w:r>
            <w:r w:rsidR="005118D2">
              <w:rPr>
                <w:i/>
                <w:iCs/>
              </w:rPr>
              <w:tab/>
            </w:r>
            <w:r>
              <w:t>Y</w:t>
            </w:r>
            <w:r w:rsidR="005118D2">
              <w:rPr>
                <w:i/>
                <w:iCs/>
              </w:rPr>
              <w:tab/>
            </w:r>
            <w:r>
              <w:t>F</w:t>
            </w:r>
          </w:p>
          <w:p w14:paraId="3283F6F9" w14:textId="5BF57820" w:rsidR="005D3444" w:rsidRPr="00B30BBF" w:rsidRDefault="005D3444" w:rsidP="005D3444">
            <w:pPr>
              <w:pStyle w:val="RAText"/>
            </w:pPr>
            <w:r>
              <w:t>Claims analysis will be performed to identify and reprocess any claims that may have denied before the coverage was updated.</w:t>
            </w:r>
          </w:p>
        </w:tc>
      </w:tr>
      <w:tr w:rsidR="00B30BBF" w:rsidRPr="009A233C" w14:paraId="13ED47D4" w14:textId="77777777" w:rsidTr="008F3A12">
        <w:tc>
          <w:tcPr>
            <w:tcW w:w="6112" w:type="dxa"/>
          </w:tcPr>
          <w:p w14:paraId="7E9B48B0" w14:textId="40ACCBB1" w:rsidR="00B30BBF" w:rsidRPr="00B30BBF" w:rsidRDefault="00B30BBF" w:rsidP="00B30BBF">
            <w:pPr>
              <w:pStyle w:val="RAHeading"/>
            </w:pPr>
            <w:r w:rsidRPr="00B30BBF">
              <w:t>TO: All inpatient providers</w:t>
            </w:r>
          </w:p>
        </w:tc>
        <w:tc>
          <w:tcPr>
            <w:tcW w:w="8504" w:type="dxa"/>
          </w:tcPr>
          <w:p w14:paraId="264082F9" w14:textId="2549109D" w:rsidR="00B30BBF" w:rsidRPr="00B30BBF" w:rsidRDefault="00B30BBF" w:rsidP="00B30BBF">
            <w:pPr>
              <w:pStyle w:val="RAHeading"/>
            </w:pPr>
            <w:r w:rsidRPr="00B30BBF">
              <w:t>RE: MUMP INPATIENT</w:t>
            </w:r>
          </w:p>
        </w:tc>
      </w:tr>
      <w:tr w:rsidR="00B30BBF" w:rsidRPr="009A233C" w14:paraId="11E745BD" w14:textId="77777777" w:rsidTr="003D25A6">
        <w:tc>
          <w:tcPr>
            <w:tcW w:w="14616" w:type="dxa"/>
            <w:gridSpan w:val="2"/>
          </w:tcPr>
          <w:p w14:paraId="1896D1FC" w14:textId="007B0D2F" w:rsidR="00B30BBF" w:rsidRDefault="00B30BBF" w:rsidP="00B30BBF">
            <w:pPr>
              <w:pStyle w:val="RAText"/>
            </w:pPr>
            <w:r>
              <w:t>Effective 3/25/2025: Inpatient providers can now submit claims spanning multiple Prior Authorization (PA) line segments with continuous authorized dates under the same prior PA, without cutting back or denying.</w:t>
            </w:r>
            <w:r w:rsidR="0010082A">
              <w:t xml:space="preserve"> </w:t>
            </w:r>
            <w:r>
              <w:t xml:space="preserve">Claims will continue to rely on the PA for processing and allocate the days to the corresponding PA line items under the same PA. </w:t>
            </w:r>
          </w:p>
          <w:p w14:paraId="6D027DF2" w14:textId="77777777" w:rsidR="00B30BBF" w:rsidRDefault="00B30BBF" w:rsidP="00B30BBF">
            <w:pPr>
              <w:pStyle w:val="RAText"/>
            </w:pPr>
            <w:r>
              <w:t>However, if authorized dates are not continuous, the claim will be reduced starting from the From Date of Service (FDOS) until continuity of authorized dates is reestablished.</w:t>
            </w:r>
          </w:p>
          <w:p w14:paraId="13A69F1C" w14:textId="72AEEDA2" w:rsidR="00B30BBF" w:rsidRDefault="00B30BBF" w:rsidP="00B30BBF">
            <w:pPr>
              <w:pStyle w:val="RAText"/>
            </w:pPr>
            <w:r>
              <w:t>Continuous dates are defined as follows:</w:t>
            </w:r>
            <w:r w:rsidR="0010082A">
              <w:t xml:space="preserve"> </w:t>
            </w:r>
            <w:r>
              <w:t>The end date of the current segment plus one day must match the effective date of the next segment. If the end date of the one PA line item is the same as the effective date of the next line item, this is considered overlapping, not continuous.</w:t>
            </w:r>
          </w:p>
          <w:p w14:paraId="7A32A1C0" w14:textId="77777777" w:rsidR="00B30BBF" w:rsidRDefault="00B30BBF" w:rsidP="00B30BBF">
            <w:pPr>
              <w:pStyle w:val="RAText"/>
            </w:pPr>
            <w:r>
              <w:t>Prior Authorizations are no longer required for the first four days of an inpatient stay, even if the difference between the To Date of Service (TDOS) and admit date plus one exceeds four days.</w:t>
            </w:r>
          </w:p>
          <w:p w14:paraId="037445E1" w14:textId="77777777" w:rsidR="00B30BBF" w:rsidRDefault="00B30BBF" w:rsidP="00B30BBF">
            <w:pPr>
              <w:pStyle w:val="RAText"/>
            </w:pPr>
            <w:r>
              <w:t>A new Explanation of Benefits (EOB) will post to paid claims for any cutbacks due to PA units being exhausted for the Date of Service (DOS) billed. This EOB will instruct the provider to request a PA extension and rebill, rather than writing off the charges.</w:t>
            </w:r>
          </w:p>
          <w:p w14:paraId="1EA9776C" w14:textId="3CC1E6A1" w:rsidR="00B30BBF" w:rsidRDefault="0010082A" w:rsidP="0010082A">
            <w:pPr>
              <w:pStyle w:val="RAText"/>
            </w:pPr>
            <w:r w:rsidRPr="0010082A">
              <w:t>-</w:t>
            </w:r>
            <w:r>
              <w:t xml:space="preserve">- </w:t>
            </w:r>
            <w:r w:rsidR="00B30BBF">
              <w:t>EOB 9012 – Cutbacks due to PA units exhausted. Request PA extension and rebill.</w:t>
            </w:r>
          </w:p>
          <w:p w14:paraId="665723ED" w14:textId="77777777" w:rsidR="00B30BBF" w:rsidRDefault="00B30BBF" w:rsidP="00B30BBF">
            <w:pPr>
              <w:pStyle w:val="RAText"/>
            </w:pPr>
            <w:r>
              <w:t>Additionally, CARC 151 and RARC N435 will be included on the EOB and the 835 file, indicating that a PA extension and rebill are required for the inpatient claim to adjudicate properly.</w:t>
            </w:r>
          </w:p>
          <w:p w14:paraId="380A360E" w14:textId="0CA7EDE5" w:rsidR="00B30BBF" w:rsidRDefault="0010082A" w:rsidP="0010082A">
            <w:pPr>
              <w:pStyle w:val="RAText"/>
            </w:pPr>
            <w:r w:rsidRPr="0010082A">
              <w:t>-</w:t>
            </w:r>
            <w:r>
              <w:t xml:space="preserve">- </w:t>
            </w:r>
            <w:r w:rsidR="00B30BBF">
              <w:t>CARC 151: Payment Adjusted because the payer deems the information submitted does not support this many/frequency of services.</w:t>
            </w:r>
          </w:p>
          <w:p w14:paraId="77DDC54E" w14:textId="3223457E" w:rsidR="00B30BBF" w:rsidRPr="00542D34" w:rsidRDefault="0010082A" w:rsidP="00B30BBF">
            <w:pPr>
              <w:pStyle w:val="RAText"/>
            </w:pPr>
            <w:r>
              <w:t xml:space="preserve">-- </w:t>
            </w:r>
            <w:r w:rsidR="00B30BBF">
              <w:t>N435: Exceeds number/frequency approved/allowed with time period without support documentation</w:t>
            </w:r>
            <w:r w:rsidR="00472687">
              <w:t>.</w:t>
            </w:r>
          </w:p>
        </w:tc>
      </w:tr>
      <w:tr w:rsidR="002463B3" w:rsidRPr="009A233C" w14:paraId="35F62BE0" w14:textId="77777777" w:rsidTr="008F3A12">
        <w:tc>
          <w:tcPr>
            <w:tcW w:w="6112" w:type="dxa"/>
          </w:tcPr>
          <w:p w14:paraId="10E85FC0" w14:textId="210EAA6E" w:rsidR="002463B3" w:rsidRDefault="002463B3" w:rsidP="002463B3">
            <w:pPr>
              <w:pStyle w:val="RAHeading"/>
            </w:pPr>
            <w:r w:rsidRPr="00B30BBF">
              <w:lastRenderedPageBreak/>
              <w:t xml:space="preserve">TO: </w:t>
            </w:r>
            <w:r>
              <w:t>HosPITAL, Independent Lab, Nurse Practitioner, and PHYSICIAN</w:t>
            </w:r>
            <w:r w:rsidRPr="00B30BBF">
              <w:t xml:space="preserve"> providers</w:t>
            </w:r>
          </w:p>
        </w:tc>
        <w:tc>
          <w:tcPr>
            <w:tcW w:w="8504" w:type="dxa"/>
          </w:tcPr>
          <w:p w14:paraId="7B6D94E6" w14:textId="5EFDC08B" w:rsidR="002463B3" w:rsidRDefault="002463B3" w:rsidP="002463B3">
            <w:pPr>
              <w:pStyle w:val="RAHeading"/>
            </w:pPr>
            <w:r w:rsidRPr="00B30BBF">
              <w:t xml:space="preserve">RE: </w:t>
            </w:r>
            <w:r w:rsidRPr="002463B3">
              <w:t>Diagnosis Group 700 Updated</w:t>
            </w:r>
          </w:p>
        </w:tc>
      </w:tr>
      <w:tr w:rsidR="002463B3" w:rsidRPr="009A233C" w14:paraId="4EA5F54B" w14:textId="77777777" w:rsidTr="003D25A6">
        <w:tc>
          <w:tcPr>
            <w:tcW w:w="14616" w:type="dxa"/>
            <w:gridSpan w:val="2"/>
          </w:tcPr>
          <w:p w14:paraId="76EF029C" w14:textId="77777777" w:rsidR="002463B3" w:rsidRDefault="002463B3" w:rsidP="008F3A12">
            <w:pPr>
              <w:pStyle w:val="RAText"/>
              <w:spacing w:before="40" w:after="120"/>
            </w:pPr>
            <w:r>
              <w:t>A diagnosis from group 700 (CYSTIC FIBROSIS DIAGNOSIS GROUP) is required when billing procedure codes 81220-81224. Diagnosis Group 700 has been updated to include the following diagnosis codes:</w:t>
            </w:r>
          </w:p>
          <w:p w14:paraId="4A441328" w14:textId="77777777" w:rsidR="002463B3" w:rsidRDefault="002463B3" w:rsidP="008F3A12">
            <w:pPr>
              <w:pStyle w:val="RAText"/>
              <w:spacing w:before="40" w:after="40"/>
            </w:pPr>
            <w:r>
              <w:t>Z130 - ENCNTR SCREEN FOR DIS OF THE BLD/BLD-FORM ORG/IMMUN MECHNSM</w:t>
            </w:r>
          </w:p>
          <w:p w14:paraId="309FC25E" w14:textId="77777777" w:rsidR="002463B3" w:rsidRDefault="002463B3" w:rsidP="008F3A12">
            <w:pPr>
              <w:pStyle w:val="RAText"/>
              <w:spacing w:before="40" w:after="40"/>
            </w:pPr>
            <w:r>
              <w:t>Z131 - ENCOUNTER FOR SCREENING FOR DIABETES MELLITUS</w:t>
            </w:r>
          </w:p>
          <w:p w14:paraId="7BF06C02" w14:textId="77777777" w:rsidR="002463B3" w:rsidRDefault="002463B3" w:rsidP="008F3A12">
            <w:pPr>
              <w:pStyle w:val="RAText"/>
              <w:spacing w:before="40" w:after="40"/>
            </w:pPr>
            <w:r>
              <w:t>Z1321 - ENCOUNTER FOR SCREENING FOR NUTRITIONAL DISORDER</w:t>
            </w:r>
          </w:p>
          <w:p w14:paraId="516C7D17" w14:textId="77777777" w:rsidR="002463B3" w:rsidRDefault="002463B3" w:rsidP="008F3A12">
            <w:pPr>
              <w:pStyle w:val="RAText"/>
              <w:spacing w:before="40" w:after="40"/>
            </w:pPr>
            <w:r>
              <w:t>Z13220 - ENCOUNTER FOR SCREENING FOR LIPOID DISORDERS</w:t>
            </w:r>
          </w:p>
          <w:p w14:paraId="4A07B8A4" w14:textId="77777777" w:rsidR="002463B3" w:rsidRDefault="002463B3" w:rsidP="008F3A12">
            <w:pPr>
              <w:pStyle w:val="RAText"/>
              <w:spacing w:before="40" w:after="40"/>
            </w:pPr>
            <w:r>
              <w:t>Z13228 - ENCOUNTER FOR SCREENING FOR OTHER METABOLIC DISORDERS</w:t>
            </w:r>
          </w:p>
          <w:p w14:paraId="25434AE4" w14:textId="77777777" w:rsidR="002463B3" w:rsidRDefault="002463B3" w:rsidP="002463B3">
            <w:pPr>
              <w:pStyle w:val="RAText"/>
            </w:pPr>
            <w:r>
              <w:t>Z31430 - ENCNTR FEM FOR TEST FOR GENETC DIS CARRIER STAT FOR PRO MGMT</w:t>
            </w:r>
          </w:p>
          <w:p w14:paraId="0BB8E13F" w14:textId="42781E47" w:rsidR="002463B3" w:rsidRPr="002463B3" w:rsidRDefault="002463B3" w:rsidP="002463B3">
            <w:pPr>
              <w:pStyle w:val="RAText"/>
            </w:pPr>
            <w:r>
              <w:t>Claims analysis will be performed going back one year.</w:t>
            </w:r>
          </w:p>
        </w:tc>
      </w:tr>
      <w:tr w:rsidR="00834EC8" w:rsidRPr="009A233C" w14:paraId="35CC1EF3" w14:textId="77777777" w:rsidTr="00834EC8">
        <w:tc>
          <w:tcPr>
            <w:tcW w:w="6112" w:type="dxa"/>
          </w:tcPr>
          <w:p w14:paraId="1180C254" w14:textId="2A8DCA2E" w:rsidR="00834EC8" w:rsidRDefault="00834EC8" w:rsidP="00834EC8">
            <w:pPr>
              <w:pStyle w:val="RAHeading"/>
            </w:pPr>
            <w:r w:rsidRPr="001A5C06">
              <w:t xml:space="preserve">TO: Area Health Education Center (AHEC); ARKids First-B; Early Intervention Day Treatment (EIDT); </w:t>
            </w:r>
            <w:r>
              <w:t xml:space="preserve">hearing services; </w:t>
            </w:r>
            <w:r w:rsidRPr="001A5C06">
              <w:t>Occupational Therapy, Physical Therapy, and Speech-Language Pathology Services; Physician; and Visual Care</w:t>
            </w:r>
          </w:p>
        </w:tc>
        <w:tc>
          <w:tcPr>
            <w:tcW w:w="8504" w:type="dxa"/>
          </w:tcPr>
          <w:p w14:paraId="56CA9BE9" w14:textId="1C920AD3" w:rsidR="00834EC8" w:rsidRDefault="00834EC8" w:rsidP="00834EC8">
            <w:pPr>
              <w:pStyle w:val="RAHeading"/>
            </w:pPr>
            <w:r w:rsidRPr="001A5C06">
              <w:t>RE: ARKids Hearing/Vision Screenings</w:t>
            </w:r>
          </w:p>
        </w:tc>
      </w:tr>
      <w:tr w:rsidR="00834EC8" w:rsidRPr="009A233C" w14:paraId="2A326C32" w14:textId="77777777" w:rsidTr="003D25A6">
        <w:tc>
          <w:tcPr>
            <w:tcW w:w="14616" w:type="dxa"/>
            <w:gridSpan w:val="2"/>
          </w:tcPr>
          <w:p w14:paraId="29B5F867" w14:textId="77777777" w:rsidR="00834EC8" w:rsidRDefault="00834EC8" w:rsidP="00834EC8">
            <w:pPr>
              <w:pStyle w:val="RAText"/>
            </w:pPr>
            <w:r>
              <w:t>Arkansas Department of Human Services has updated the system to align with the EPSDT provider manual to prevent periodic hearing and vision screenings from being reimbursed on the same day or within 7 days of a medical screening.</w:t>
            </w:r>
          </w:p>
          <w:p w14:paraId="1B0BAE82" w14:textId="4507404A" w:rsidR="00834EC8" w:rsidRPr="00834EC8" w:rsidRDefault="00834EC8" w:rsidP="00834EC8">
            <w:pPr>
              <w:pStyle w:val="RAText"/>
            </w:pPr>
            <w:r>
              <w:t>The system has also been updated to bypass co-pay for ARKids for procedure 99173 - VISUAL ACUITY SCREEN.</w:t>
            </w:r>
          </w:p>
        </w:tc>
      </w:tr>
    </w:tbl>
    <w:p w14:paraId="2F5D9C19" w14:textId="77777777" w:rsidR="0085169D" w:rsidRPr="009A233C" w:rsidRDefault="0085169D" w:rsidP="0085169D">
      <w:pPr>
        <w:pStyle w:val="RABottomText"/>
        <w:spacing w:before="240"/>
        <w:rPr>
          <w:rFonts w:eastAsia="Batang"/>
          <w:b/>
          <w:bCs/>
          <w:i/>
          <w:iCs/>
          <w:lang w:eastAsia="ko-KR"/>
        </w:rPr>
      </w:pPr>
      <w:bookmarkStart w:id="1"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1"/>
    </w:p>
    <w:sectPr w:rsidR="0085169D" w:rsidRPr="009A233C" w:rsidSect="00D570E1">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3"/>
  </w:num>
  <w:num w:numId="3" w16cid:durableId="1764915598">
    <w:abstractNumId w:val="27"/>
  </w:num>
  <w:num w:numId="4" w16cid:durableId="285743630">
    <w:abstractNumId w:val="13"/>
  </w:num>
  <w:num w:numId="5" w16cid:durableId="1067649689">
    <w:abstractNumId w:val="1"/>
  </w:num>
  <w:num w:numId="6" w16cid:durableId="1056782968">
    <w:abstractNumId w:val="20"/>
  </w:num>
  <w:num w:numId="7" w16cid:durableId="1125125218">
    <w:abstractNumId w:val="17"/>
  </w:num>
  <w:num w:numId="8" w16cid:durableId="950015320">
    <w:abstractNumId w:val="26"/>
  </w:num>
  <w:num w:numId="9" w16cid:durableId="2054307345">
    <w:abstractNumId w:val="28"/>
  </w:num>
  <w:num w:numId="10" w16cid:durableId="1695425299">
    <w:abstractNumId w:val="24"/>
  </w:num>
  <w:num w:numId="11" w16cid:durableId="1461415117">
    <w:abstractNumId w:val="9"/>
  </w:num>
  <w:num w:numId="12" w16cid:durableId="1390304551">
    <w:abstractNumId w:val="4"/>
  </w:num>
  <w:num w:numId="13" w16cid:durableId="1582331996">
    <w:abstractNumId w:val="8"/>
  </w:num>
  <w:num w:numId="14" w16cid:durableId="828983114">
    <w:abstractNumId w:val="5"/>
  </w:num>
  <w:num w:numId="15" w16cid:durableId="573398377">
    <w:abstractNumId w:val="33"/>
  </w:num>
  <w:num w:numId="16" w16cid:durableId="1317757009">
    <w:abstractNumId w:val="6"/>
  </w:num>
  <w:num w:numId="17" w16cid:durableId="1379430719">
    <w:abstractNumId w:val="14"/>
  </w:num>
  <w:num w:numId="18" w16cid:durableId="1004554482">
    <w:abstractNumId w:val="25"/>
  </w:num>
  <w:num w:numId="19" w16cid:durableId="527260052">
    <w:abstractNumId w:val="22"/>
  </w:num>
  <w:num w:numId="20" w16cid:durableId="1046371567">
    <w:abstractNumId w:val="7"/>
  </w:num>
  <w:num w:numId="21" w16cid:durableId="16126293">
    <w:abstractNumId w:val="2"/>
  </w:num>
  <w:num w:numId="22" w16cid:durableId="789400013">
    <w:abstractNumId w:val="32"/>
  </w:num>
  <w:num w:numId="23" w16cid:durableId="1986733675">
    <w:abstractNumId w:val="18"/>
  </w:num>
  <w:num w:numId="24" w16cid:durableId="482040308">
    <w:abstractNumId w:val="16"/>
  </w:num>
  <w:num w:numId="25" w16cid:durableId="878205331">
    <w:abstractNumId w:val="11"/>
  </w:num>
  <w:num w:numId="26" w16cid:durableId="572351401">
    <w:abstractNumId w:val="29"/>
  </w:num>
  <w:num w:numId="27" w16cid:durableId="213976199">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1"/>
  </w:num>
  <w:num w:numId="30" w16cid:durableId="137918648">
    <w:abstractNumId w:val="31"/>
  </w:num>
  <w:num w:numId="31" w16cid:durableId="191455874">
    <w:abstractNumId w:val="12"/>
  </w:num>
  <w:num w:numId="32" w16cid:durableId="1451239030">
    <w:abstractNumId w:val="19"/>
  </w:num>
  <w:num w:numId="33" w16cid:durableId="1194727401">
    <w:abstractNumId w:val="3"/>
  </w:num>
  <w:num w:numId="34" w16cid:durableId="1900167424">
    <w:abstractNumId w:val="10"/>
  </w:num>
  <w:num w:numId="35" w16cid:durableId="723867162">
    <w:abstractNumId w:val="15"/>
  </w:num>
  <w:num w:numId="36" w16cid:durableId="20926551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DA4"/>
    <w:rsid w:val="00022CC1"/>
    <w:rsid w:val="000256D9"/>
    <w:rsid w:val="000275FB"/>
    <w:rsid w:val="00027672"/>
    <w:rsid w:val="000307CA"/>
    <w:rsid w:val="00032B4B"/>
    <w:rsid w:val="0003324B"/>
    <w:rsid w:val="000334ED"/>
    <w:rsid w:val="0003350F"/>
    <w:rsid w:val="00033EE5"/>
    <w:rsid w:val="00035921"/>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6BEF"/>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CB6"/>
    <w:rsid w:val="000E2EAD"/>
    <w:rsid w:val="000E3EB6"/>
    <w:rsid w:val="000E3FDB"/>
    <w:rsid w:val="000E41CF"/>
    <w:rsid w:val="000E52F1"/>
    <w:rsid w:val="000E5348"/>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0E72"/>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DFB"/>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947"/>
    <w:rsid w:val="001E6334"/>
    <w:rsid w:val="001E6CFA"/>
    <w:rsid w:val="001F03C2"/>
    <w:rsid w:val="001F2E64"/>
    <w:rsid w:val="001F4646"/>
    <w:rsid w:val="00201078"/>
    <w:rsid w:val="0020144A"/>
    <w:rsid w:val="00201ECC"/>
    <w:rsid w:val="002026E2"/>
    <w:rsid w:val="0020492A"/>
    <w:rsid w:val="0020499E"/>
    <w:rsid w:val="00204C52"/>
    <w:rsid w:val="00206837"/>
    <w:rsid w:val="0021004C"/>
    <w:rsid w:val="002104A0"/>
    <w:rsid w:val="00210B94"/>
    <w:rsid w:val="00211C7F"/>
    <w:rsid w:val="0021210C"/>
    <w:rsid w:val="002141D8"/>
    <w:rsid w:val="002145CE"/>
    <w:rsid w:val="00214EDD"/>
    <w:rsid w:val="00215F4F"/>
    <w:rsid w:val="00217FD2"/>
    <w:rsid w:val="00220029"/>
    <w:rsid w:val="0022024F"/>
    <w:rsid w:val="002203E7"/>
    <w:rsid w:val="0022057F"/>
    <w:rsid w:val="00221367"/>
    <w:rsid w:val="0022321B"/>
    <w:rsid w:val="002239B8"/>
    <w:rsid w:val="00224DAF"/>
    <w:rsid w:val="002252D7"/>
    <w:rsid w:val="00227398"/>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661B"/>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636F"/>
    <w:rsid w:val="00406776"/>
    <w:rsid w:val="0041067A"/>
    <w:rsid w:val="00411AE7"/>
    <w:rsid w:val="00415569"/>
    <w:rsid w:val="004155C3"/>
    <w:rsid w:val="00416BC7"/>
    <w:rsid w:val="00420527"/>
    <w:rsid w:val="004207B8"/>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928D1"/>
    <w:rsid w:val="005947FC"/>
    <w:rsid w:val="00595398"/>
    <w:rsid w:val="00596169"/>
    <w:rsid w:val="005967ED"/>
    <w:rsid w:val="00596DCB"/>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126D"/>
    <w:rsid w:val="0070154E"/>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6DD0"/>
    <w:rsid w:val="00727F59"/>
    <w:rsid w:val="007309EC"/>
    <w:rsid w:val="00730F57"/>
    <w:rsid w:val="00731C51"/>
    <w:rsid w:val="007348D4"/>
    <w:rsid w:val="00735DF2"/>
    <w:rsid w:val="00740051"/>
    <w:rsid w:val="0074048B"/>
    <w:rsid w:val="007435CF"/>
    <w:rsid w:val="0074399C"/>
    <w:rsid w:val="00744132"/>
    <w:rsid w:val="0074462B"/>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684"/>
    <w:rsid w:val="007857B9"/>
    <w:rsid w:val="00785E80"/>
    <w:rsid w:val="00786CE3"/>
    <w:rsid w:val="0079183F"/>
    <w:rsid w:val="007918FC"/>
    <w:rsid w:val="00792541"/>
    <w:rsid w:val="00792593"/>
    <w:rsid w:val="00792884"/>
    <w:rsid w:val="00793CA1"/>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52D7"/>
    <w:rsid w:val="007B7DFE"/>
    <w:rsid w:val="007C3D1B"/>
    <w:rsid w:val="007C3FB5"/>
    <w:rsid w:val="007C4C40"/>
    <w:rsid w:val="007C503D"/>
    <w:rsid w:val="007C506E"/>
    <w:rsid w:val="007C68E6"/>
    <w:rsid w:val="007C6FEB"/>
    <w:rsid w:val="007C7B95"/>
    <w:rsid w:val="007C7C3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48DC"/>
    <w:rsid w:val="007E54EC"/>
    <w:rsid w:val="007E61B1"/>
    <w:rsid w:val="007F31A8"/>
    <w:rsid w:val="007F4B72"/>
    <w:rsid w:val="007F5B63"/>
    <w:rsid w:val="007F6657"/>
    <w:rsid w:val="007F7899"/>
    <w:rsid w:val="007F79BD"/>
    <w:rsid w:val="00800324"/>
    <w:rsid w:val="00802F3E"/>
    <w:rsid w:val="008035FF"/>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AF9"/>
    <w:rsid w:val="00840D9C"/>
    <w:rsid w:val="00841C1C"/>
    <w:rsid w:val="00841F59"/>
    <w:rsid w:val="0084273A"/>
    <w:rsid w:val="00843085"/>
    <w:rsid w:val="0085169D"/>
    <w:rsid w:val="00851FC8"/>
    <w:rsid w:val="008523AB"/>
    <w:rsid w:val="008524C2"/>
    <w:rsid w:val="0085332A"/>
    <w:rsid w:val="008551EF"/>
    <w:rsid w:val="008554F9"/>
    <w:rsid w:val="00861314"/>
    <w:rsid w:val="00861DE6"/>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F71"/>
    <w:rsid w:val="00885DE3"/>
    <w:rsid w:val="008863BB"/>
    <w:rsid w:val="008878A1"/>
    <w:rsid w:val="008878E4"/>
    <w:rsid w:val="008918CE"/>
    <w:rsid w:val="00891E8B"/>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5A5"/>
    <w:rsid w:val="008B6C6C"/>
    <w:rsid w:val="008B71C8"/>
    <w:rsid w:val="008B7AB4"/>
    <w:rsid w:val="008C0300"/>
    <w:rsid w:val="008C1F05"/>
    <w:rsid w:val="008C406F"/>
    <w:rsid w:val="008C4B44"/>
    <w:rsid w:val="008D0687"/>
    <w:rsid w:val="008D080B"/>
    <w:rsid w:val="008D0828"/>
    <w:rsid w:val="008D2250"/>
    <w:rsid w:val="008D356A"/>
    <w:rsid w:val="008D690B"/>
    <w:rsid w:val="008E3441"/>
    <w:rsid w:val="008E4827"/>
    <w:rsid w:val="008E4FEB"/>
    <w:rsid w:val="008E6EE4"/>
    <w:rsid w:val="008E783A"/>
    <w:rsid w:val="008E7FCE"/>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C1096"/>
    <w:rsid w:val="009C15EA"/>
    <w:rsid w:val="009C1DDA"/>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60"/>
    <w:rsid w:val="00A300F8"/>
    <w:rsid w:val="00A310A4"/>
    <w:rsid w:val="00A3187D"/>
    <w:rsid w:val="00A33915"/>
    <w:rsid w:val="00A34AC7"/>
    <w:rsid w:val="00A356D5"/>
    <w:rsid w:val="00A36773"/>
    <w:rsid w:val="00A36A04"/>
    <w:rsid w:val="00A40D17"/>
    <w:rsid w:val="00A413AB"/>
    <w:rsid w:val="00A43F8F"/>
    <w:rsid w:val="00A477BF"/>
    <w:rsid w:val="00A506CC"/>
    <w:rsid w:val="00A514E4"/>
    <w:rsid w:val="00A53AE1"/>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E3148"/>
    <w:rsid w:val="00AE35A7"/>
    <w:rsid w:val="00AE3871"/>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32A6"/>
    <w:rsid w:val="00B93EF2"/>
    <w:rsid w:val="00BA0E92"/>
    <w:rsid w:val="00BA23CC"/>
    <w:rsid w:val="00BA296F"/>
    <w:rsid w:val="00BA3AA6"/>
    <w:rsid w:val="00BA5D29"/>
    <w:rsid w:val="00BA763B"/>
    <w:rsid w:val="00BA781C"/>
    <w:rsid w:val="00BB222B"/>
    <w:rsid w:val="00BB2528"/>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D44"/>
    <w:rsid w:val="00BF66CD"/>
    <w:rsid w:val="00BF6EA7"/>
    <w:rsid w:val="00BF7A5C"/>
    <w:rsid w:val="00C00933"/>
    <w:rsid w:val="00C01804"/>
    <w:rsid w:val="00C01B81"/>
    <w:rsid w:val="00C02743"/>
    <w:rsid w:val="00C0395A"/>
    <w:rsid w:val="00C0396A"/>
    <w:rsid w:val="00C04575"/>
    <w:rsid w:val="00C04A8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4BD9"/>
    <w:rsid w:val="00D66BBF"/>
    <w:rsid w:val="00D66D8F"/>
    <w:rsid w:val="00D67F65"/>
    <w:rsid w:val="00D7024B"/>
    <w:rsid w:val="00D73C7B"/>
    <w:rsid w:val="00D7405F"/>
    <w:rsid w:val="00D74A1C"/>
    <w:rsid w:val="00D74F7A"/>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D2AE3"/>
    <w:rsid w:val="00DD3080"/>
    <w:rsid w:val="00DD3DBF"/>
    <w:rsid w:val="00DD449D"/>
    <w:rsid w:val="00DD755C"/>
    <w:rsid w:val="00DE0677"/>
    <w:rsid w:val="00DE0959"/>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5A41"/>
    <w:rsid w:val="00E379AA"/>
    <w:rsid w:val="00E37DCE"/>
    <w:rsid w:val="00E41A38"/>
    <w:rsid w:val="00E4301F"/>
    <w:rsid w:val="00E43304"/>
    <w:rsid w:val="00E43F4B"/>
    <w:rsid w:val="00E46858"/>
    <w:rsid w:val="00E47D95"/>
    <w:rsid w:val="00E5030B"/>
    <w:rsid w:val="00E52E3B"/>
    <w:rsid w:val="00E55125"/>
    <w:rsid w:val="00E55761"/>
    <w:rsid w:val="00E60FBC"/>
    <w:rsid w:val="00E61B85"/>
    <w:rsid w:val="00E61E25"/>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39B2"/>
    <w:rsid w:val="00FC444E"/>
    <w:rsid w:val="00FD23C3"/>
    <w:rsid w:val="00FD31E9"/>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30"/>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purl.org/dc/elements/1.1/"/>
    <ds:schemaRef ds:uri="http://schemas.openxmlformats.org/package/2006/metadata/core-properties"/>
    <ds:schemaRef ds:uri="459a5397-efc8-4db4-9665-6751e9557ed9"/>
    <ds:schemaRef ds:uri="8e69ce0d-1efe-43da-bb4e-b658dcfa5055"/>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1c35869-6495-4b3a-952e-bc5e37f13032}" enabled="1" method="Standar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2</Pages>
  <Words>725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Messages for Remittance Advices dated March 27, 2025</vt:lpstr>
    </vt:vector>
  </TitlesOfParts>
  <Company/>
  <LinksUpToDate>false</LinksUpToDate>
  <CharactersWithSpaces>4684</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March 27, 2025</dc:title>
  <dc:subject/>
  <dc:creator/>
  <cp:keywords/>
  <dc:description/>
  <cp:lastModifiedBy/>
  <cp:revision>1</cp:revision>
  <dcterms:created xsi:type="dcterms:W3CDTF">2025-03-21T13:04:00Z</dcterms:created>
  <dcterms:modified xsi:type="dcterms:W3CDTF">2025-03-27T12:58:00Z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